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EE609">
      <w:pPr>
        <w:jc w:val="center"/>
        <w:rPr>
          <w:rFonts w:hint="default" w:eastAsiaTheme="minorEastAsia"/>
          <w:b/>
          <w:bCs/>
          <w:sz w:val="32"/>
          <w:szCs w:val="36"/>
          <w:lang w:val="en-US" w:eastAsia="zh-CN"/>
        </w:rPr>
      </w:pPr>
      <w:r>
        <w:rPr>
          <w:rFonts w:hint="eastAsia"/>
          <w:b/>
          <w:bCs/>
          <w:sz w:val="28"/>
          <w:szCs w:val="32"/>
          <w:lang w:val="en-US" w:eastAsia="zh-CN"/>
        </w:rPr>
        <w:t xml:space="preserve">Agenda for the </w:t>
      </w:r>
      <w:r>
        <w:rPr>
          <w:rFonts w:hint="eastAsia"/>
          <w:b/>
          <w:bCs/>
          <w:sz w:val="32"/>
          <w:szCs w:val="36"/>
        </w:rPr>
        <w:t>3rd Asian Engineering Education</w:t>
      </w:r>
      <w:r>
        <w:rPr>
          <w:rFonts w:hint="eastAsia"/>
          <w:b/>
          <w:bCs/>
          <w:sz w:val="32"/>
          <w:szCs w:val="36"/>
          <w:lang w:val="en-US" w:eastAsia="zh-CN"/>
        </w:rPr>
        <w:t xml:space="preserve"> </w:t>
      </w:r>
      <w:r>
        <w:rPr>
          <w:rFonts w:hint="eastAsia"/>
          <w:b/>
          <w:bCs/>
          <w:sz w:val="32"/>
          <w:szCs w:val="36"/>
        </w:rPr>
        <w:t>Forum</w:t>
      </w:r>
    </w:p>
    <w:tbl>
      <w:tblPr>
        <w:tblStyle w:val="13"/>
        <w:tblW w:w="0" w:type="auto"/>
        <w:jc w:val="center"/>
        <w:tblBorders>
          <w:top w:val="none" w:color="auto" w:sz="0" w:space="0"/>
          <w:left w:val="none" w:color="auto" w:sz="0" w:space="0"/>
          <w:bottom w:val="none" w:color="auto" w:sz="0" w:space="0"/>
          <w:right w:val="none" w:color="auto" w:sz="0" w:space="0"/>
          <w:insideH w:val="none" w:color="auto" w:sz="4" w:space="0"/>
          <w:insideV w:val="single" w:color="auto" w:sz="4" w:space="0"/>
        </w:tblBorders>
        <w:tblLayout w:type="autofit"/>
        <w:tblCellMar>
          <w:top w:w="0" w:type="dxa"/>
          <w:left w:w="0" w:type="dxa"/>
          <w:bottom w:w="0" w:type="dxa"/>
          <w:right w:w="0" w:type="dxa"/>
        </w:tblCellMar>
      </w:tblPr>
      <w:tblGrid>
        <w:gridCol w:w="1865"/>
        <w:gridCol w:w="10050"/>
        <w:gridCol w:w="1429"/>
      </w:tblGrid>
      <w:tr w14:paraId="5F849296">
        <w:tblPrEx>
          <w:tblBorders>
            <w:top w:val="none" w:color="auto" w:sz="0" w:space="0"/>
            <w:left w:val="none" w:color="auto" w:sz="0" w:space="0"/>
            <w:bottom w:val="none" w:color="auto" w:sz="0" w:space="0"/>
            <w:right w:val="none" w:color="auto" w:sz="0" w:space="0"/>
            <w:insideH w:val="none" w:color="auto" w:sz="4" w:space="0"/>
            <w:insideV w:val="single" w:color="auto" w:sz="4" w:space="0"/>
          </w:tblBorders>
          <w:tblCellMar>
            <w:top w:w="0" w:type="dxa"/>
            <w:left w:w="0" w:type="dxa"/>
            <w:bottom w:w="0" w:type="dxa"/>
            <w:right w:w="0" w:type="dxa"/>
          </w:tblCellMar>
        </w:tblPrEx>
        <w:trPr>
          <w:trHeight w:val="454" w:hRule="atLeast"/>
          <w:jc w:val="center"/>
        </w:trPr>
        <w:tc>
          <w:tcPr>
            <w:tcW w:w="1865" w:type="dxa"/>
            <w:tcBorders>
              <w:top w:val="single" w:color="auto" w:sz="4" w:space="0"/>
              <w:bottom w:val="single" w:color="auto" w:sz="4" w:space="0"/>
              <w:right w:val="nil"/>
            </w:tcBorders>
            <w:tcMar>
              <w:top w:w="0" w:type="dxa"/>
              <w:left w:w="108" w:type="dxa"/>
              <w:bottom w:w="0" w:type="dxa"/>
              <w:right w:w="108" w:type="dxa"/>
            </w:tcMar>
            <w:vAlign w:val="center"/>
          </w:tcPr>
          <w:p w14:paraId="2B168D54">
            <w:pPr>
              <w:spacing w:after="0" w:line="240" w:lineRule="auto"/>
              <w:jc w:val="center"/>
              <w:rPr>
                <w:rFonts w:hint="default" w:eastAsiaTheme="minorEastAsia"/>
                <w:b/>
                <w:bCs/>
                <w:sz w:val="28"/>
                <w:szCs w:val="32"/>
                <w:lang w:val="en-US" w:eastAsia="zh-CN"/>
              </w:rPr>
            </w:pPr>
            <w:r>
              <w:rPr>
                <w:rFonts w:hint="eastAsia"/>
                <w:b/>
                <w:bCs/>
                <w:sz w:val="28"/>
                <w:szCs w:val="32"/>
                <w:lang w:val="en-US" w:eastAsia="zh-CN"/>
              </w:rPr>
              <w:t>Time</w:t>
            </w:r>
          </w:p>
        </w:tc>
        <w:tc>
          <w:tcPr>
            <w:tcW w:w="10050" w:type="dxa"/>
            <w:tcBorders>
              <w:top w:val="single" w:color="auto" w:sz="4" w:space="0"/>
              <w:left w:val="nil"/>
              <w:bottom w:val="single" w:color="auto" w:sz="8" w:space="0"/>
              <w:right w:val="nil"/>
            </w:tcBorders>
            <w:tcMar>
              <w:top w:w="0" w:type="dxa"/>
              <w:left w:w="108" w:type="dxa"/>
              <w:bottom w:w="0" w:type="dxa"/>
              <w:right w:w="108" w:type="dxa"/>
            </w:tcMar>
            <w:vAlign w:val="center"/>
          </w:tcPr>
          <w:p w14:paraId="1B38A66F">
            <w:pPr>
              <w:spacing w:after="0" w:line="240" w:lineRule="auto"/>
              <w:jc w:val="center"/>
              <w:rPr>
                <w:rFonts w:hint="default" w:eastAsiaTheme="minorEastAsia"/>
                <w:b/>
                <w:bCs/>
                <w:sz w:val="28"/>
                <w:szCs w:val="32"/>
                <w:lang w:val="en-US" w:eastAsia="zh-CN"/>
              </w:rPr>
            </w:pPr>
            <w:r>
              <w:rPr>
                <w:rFonts w:hint="eastAsia"/>
                <w:b/>
                <w:bCs/>
                <w:sz w:val="28"/>
                <w:szCs w:val="32"/>
                <w:lang w:val="en-US" w:eastAsia="zh-CN"/>
              </w:rPr>
              <w:t>Agenda</w:t>
            </w:r>
          </w:p>
        </w:tc>
        <w:tc>
          <w:tcPr>
            <w:tcW w:w="1429" w:type="dxa"/>
            <w:tcBorders>
              <w:top w:val="single" w:color="auto" w:sz="4" w:space="0"/>
              <w:left w:val="nil"/>
              <w:bottom w:val="single" w:color="auto" w:sz="8" w:space="0"/>
            </w:tcBorders>
            <w:tcMar>
              <w:top w:w="0" w:type="dxa"/>
              <w:left w:w="108" w:type="dxa"/>
              <w:bottom w:w="0" w:type="dxa"/>
              <w:right w:w="108" w:type="dxa"/>
            </w:tcMar>
            <w:vAlign w:val="center"/>
          </w:tcPr>
          <w:p w14:paraId="6755BEC6">
            <w:pPr>
              <w:spacing w:after="0" w:line="240" w:lineRule="auto"/>
              <w:jc w:val="center"/>
              <w:rPr>
                <w:rFonts w:hint="default" w:eastAsiaTheme="minorEastAsia"/>
                <w:b/>
                <w:bCs/>
                <w:sz w:val="28"/>
                <w:szCs w:val="32"/>
                <w:lang w:val="en-US" w:eastAsia="zh-CN"/>
              </w:rPr>
            </w:pPr>
            <w:r>
              <w:rPr>
                <w:rFonts w:hint="eastAsia"/>
                <w:b/>
                <w:bCs/>
                <w:sz w:val="28"/>
                <w:szCs w:val="32"/>
                <w:lang w:val="en-US" w:eastAsia="zh-CN"/>
              </w:rPr>
              <w:t>Host</w:t>
            </w:r>
          </w:p>
        </w:tc>
      </w:tr>
      <w:tr w14:paraId="04195F9B">
        <w:tblPrEx>
          <w:tblBorders>
            <w:top w:val="none" w:color="auto" w:sz="0" w:space="0"/>
            <w:left w:val="none" w:color="auto" w:sz="0" w:space="0"/>
            <w:bottom w:val="none" w:color="auto" w:sz="0" w:space="0"/>
            <w:right w:val="none" w:color="auto" w:sz="0" w:space="0"/>
            <w:insideH w:val="none" w:color="auto" w:sz="4" w:space="0"/>
            <w:insideV w:val="single" w:color="auto" w:sz="4" w:space="0"/>
          </w:tblBorders>
          <w:tblCellMar>
            <w:top w:w="0" w:type="dxa"/>
            <w:left w:w="0" w:type="dxa"/>
            <w:bottom w:w="0" w:type="dxa"/>
            <w:right w:w="0" w:type="dxa"/>
          </w:tblCellMar>
        </w:tblPrEx>
        <w:trPr>
          <w:trHeight w:val="470" w:hRule="atLeast"/>
          <w:jc w:val="center"/>
        </w:trPr>
        <w:tc>
          <w:tcPr>
            <w:tcW w:w="13344" w:type="dxa"/>
            <w:gridSpan w:val="3"/>
            <w:tcBorders>
              <w:top w:val="nil"/>
              <w:bottom w:val="single" w:color="auto" w:sz="8" w:space="0"/>
            </w:tcBorders>
            <w:tcMar>
              <w:top w:w="0" w:type="dxa"/>
              <w:left w:w="108" w:type="dxa"/>
              <w:bottom w:w="0" w:type="dxa"/>
              <w:right w:w="108" w:type="dxa"/>
            </w:tcMar>
            <w:vAlign w:val="center"/>
          </w:tcPr>
          <w:p w14:paraId="7BF86A77">
            <w:pPr>
              <w:spacing w:after="0" w:line="240" w:lineRule="auto"/>
              <w:jc w:val="left"/>
              <w:rPr>
                <w:rFonts w:hint="eastAsia"/>
                <w:sz w:val="28"/>
                <w:szCs w:val="32"/>
              </w:rPr>
            </w:pPr>
            <w:r>
              <w:rPr>
                <w:rFonts w:hint="eastAsia"/>
                <w:b/>
                <w:bCs/>
                <w:sz w:val="28"/>
                <w:szCs w:val="32"/>
                <w:lang w:val="en-US" w:eastAsia="zh-CN"/>
              </w:rPr>
              <w:t>8</w:t>
            </w:r>
            <w:r>
              <w:rPr>
                <w:rFonts w:hint="eastAsia"/>
                <w:b/>
                <w:bCs/>
                <w:sz w:val="28"/>
                <w:szCs w:val="32"/>
                <w:vertAlign w:val="superscript"/>
                <w:lang w:val="en-US" w:eastAsia="zh-CN"/>
              </w:rPr>
              <w:t>TH</w:t>
            </w:r>
            <w:r>
              <w:rPr>
                <w:rFonts w:hint="eastAsia"/>
                <w:b/>
                <w:bCs/>
                <w:sz w:val="28"/>
                <w:szCs w:val="32"/>
                <w:lang w:val="en-US" w:eastAsia="zh-CN"/>
              </w:rPr>
              <w:t xml:space="preserve"> Sept </w:t>
            </w:r>
          </w:p>
        </w:tc>
      </w:tr>
      <w:tr w14:paraId="71D792EB">
        <w:tblPrEx>
          <w:tblBorders>
            <w:top w:val="none" w:color="auto" w:sz="0" w:space="0"/>
            <w:left w:val="none" w:color="auto" w:sz="0" w:space="0"/>
            <w:bottom w:val="none" w:color="auto" w:sz="0" w:space="0"/>
            <w:right w:val="none" w:color="auto" w:sz="0" w:space="0"/>
            <w:insideH w:val="none" w:color="auto" w:sz="4" w:space="0"/>
            <w:insideV w:val="single" w:color="auto" w:sz="4" w:space="0"/>
          </w:tblBorders>
          <w:tblCellMar>
            <w:top w:w="0" w:type="dxa"/>
            <w:left w:w="0" w:type="dxa"/>
            <w:bottom w:w="0" w:type="dxa"/>
            <w:right w:w="0" w:type="dxa"/>
          </w:tblCellMar>
        </w:tblPrEx>
        <w:trPr>
          <w:trHeight w:val="477" w:hRule="atLeast"/>
          <w:jc w:val="center"/>
        </w:trPr>
        <w:tc>
          <w:tcPr>
            <w:tcW w:w="1865" w:type="dxa"/>
            <w:tcBorders>
              <w:top w:val="nil"/>
              <w:bottom w:val="single" w:color="auto" w:sz="8" w:space="0"/>
              <w:right w:val="nil"/>
            </w:tcBorders>
            <w:tcMar>
              <w:top w:w="0" w:type="dxa"/>
              <w:left w:w="108" w:type="dxa"/>
              <w:bottom w:w="0" w:type="dxa"/>
              <w:right w:w="108" w:type="dxa"/>
            </w:tcMar>
            <w:vAlign w:val="center"/>
          </w:tcPr>
          <w:p w14:paraId="5C7560E6">
            <w:pPr>
              <w:spacing w:after="0" w:line="240" w:lineRule="auto"/>
              <w:jc w:val="center"/>
              <w:rPr>
                <w:sz w:val="28"/>
                <w:szCs w:val="32"/>
              </w:rPr>
            </w:pPr>
            <w:r>
              <w:rPr>
                <w:sz w:val="28"/>
                <w:szCs w:val="32"/>
              </w:rPr>
              <w:t>11:30-11:45</w:t>
            </w:r>
          </w:p>
        </w:tc>
        <w:tc>
          <w:tcPr>
            <w:tcW w:w="10050" w:type="dxa"/>
            <w:tcBorders>
              <w:top w:val="nil"/>
              <w:left w:val="nil"/>
              <w:bottom w:val="single" w:color="auto" w:sz="8" w:space="0"/>
              <w:right w:val="nil"/>
            </w:tcBorders>
            <w:tcMar>
              <w:top w:w="0" w:type="dxa"/>
              <w:left w:w="108" w:type="dxa"/>
              <w:bottom w:w="0" w:type="dxa"/>
              <w:right w:w="108" w:type="dxa"/>
            </w:tcMar>
            <w:vAlign w:val="center"/>
          </w:tcPr>
          <w:p w14:paraId="1E133C1C">
            <w:pPr>
              <w:spacing w:after="0" w:line="240" w:lineRule="auto"/>
              <w:jc w:val="center"/>
              <w:rPr>
                <w:sz w:val="28"/>
                <w:szCs w:val="32"/>
              </w:rPr>
            </w:pPr>
            <w:r>
              <w:rPr>
                <w:b/>
                <w:bCs/>
                <w:sz w:val="28"/>
                <w:szCs w:val="32"/>
              </w:rPr>
              <w:t>Zhang Kejun</w:t>
            </w:r>
          </w:p>
          <w:p w14:paraId="62F5CEDE">
            <w:pPr>
              <w:spacing w:after="0" w:line="240" w:lineRule="auto"/>
              <w:jc w:val="center"/>
              <w:rPr>
                <w:sz w:val="28"/>
                <w:szCs w:val="32"/>
              </w:rPr>
            </w:pPr>
            <w:r>
              <w:rPr>
                <w:sz w:val="24"/>
                <w:szCs w:val="28"/>
              </w:rPr>
              <w:t>Zhejiang University, China</w:t>
            </w:r>
          </w:p>
        </w:tc>
        <w:tc>
          <w:tcPr>
            <w:tcW w:w="1429" w:type="dxa"/>
            <w:vMerge w:val="restart"/>
            <w:tcBorders>
              <w:top w:val="nil"/>
              <w:left w:val="nil"/>
              <w:bottom w:val="single" w:color="auto" w:sz="8" w:space="0"/>
            </w:tcBorders>
            <w:tcMar>
              <w:top w:w="0" w:type="dxa"/>
              <w:left w:w="108" w:type="dxa"/>
              <w:bottom w:w="0" w:type="dxa"/>
              <w:right w:w="108" w:type="dxa"/>
            </w:tcMar>
            <w:vAlign w:val="center"/>
          </w:tcPr>
          <w:p w14:paraId="0B0E0C8B">
            <w:pPr>
              <w:spacing w:after="0" w:line="240" w:lineRule="auto"/>
              <w:jc w:val="center"/>
              <w:rPr>
                <w:sz w:val="28"/>
                <w:szCs w:val="32"/>
              </w:rPr>
            </w:pPr>
            <w:r>
              <w:rPr>
                <w:sz w:val="28"/>
                <w:szCs w:val="32"/>
              </w:rPr>
              <w:t>SEFI</w:t>
            </w:r>
          </w:p>
          <w:p w14:paraId="3503E792">
            <w:pPr>
              <w:spacing w:after="0" w:line="240" w:lineRule="auto"/>
              <w:jc w:val="center"/>
              <w:rPr>
                <w:sz w:val="28"/>
                <w:szCs w:val="32"/>
              </w:rPr>
            </w:pPr>
            <w:r>
              <w:rPr>
                <w:sz w:val="28"/>
                <w:szCs w:val="32"/>
              </w:rPr>
              <w:t>President</w:t>
            </w:r>
          </w:p>
        </w:tc>
      </w:tr>
      <w:tr w14:paraId="64425D11">
        <w:tblPrEx>
          <w:tblBorders>
            <w:top w:val="none" w:color="auto" w:sz="0" w:space="0"/>
            <w:left w:val="none" w:color="auto" w:sz="0" w:space="0"/>
            <w:bottom w:val="none" w:color="auto" w:sz="0" w:space="0"/>
            <w:right w:val="none" w:color="auto" w:sz="0" w:space="0"/>
            <w:insideH w:val="none" w:color="auto" w:sz="4" w:space="0"/>
            <w:insideV w:val="single" w:color="auto" w:sz="4" w:space="0"/>
          </w:tblBorders>
          <w:tblCellMar>
            <w:top w:w="0" w:type="dxa"/>
            <w:left w:w="0" w:type="dxa"/>
            <w:bottom w:w="0" w:type="dxa"/>
            <w:right w:w="0" w:type="dxa"/>
          </w:tblCellMar>
        </w:tblPrEx>
        <w:trPr>
          <w:trHeight w:val="1707" w:hRule="atLeast"/>
          <w:jc w:val="center"/>
        </w:trPr>
        <w:tc>
          <w:tcPr>
            <w:tcW w:w="1865" w:type="dxa"/>
            <w:tcBorders>
              <w:top w:val="nil"/>
              <w:bottom w:val="single" w:color="auto" w:sz="8" w:space="0"/>
              <w:right w:val="nil"/>
            </w:tcBorders>
            <w:tcMar>
              <w:top w:w="0" w:type="dxa"/>
              <w:left w:w="108" w:type="dxa"/>
              <w:bottom w:w="0" w:type="dxa"/>
              <w:right w:w="108" w:type="dxa"/>
            </w:tcMar>
            <w:vAlign w:val="center"/>
          </w:tcPr>
          <w:p w14:paraId="762C3B20">
            <w:pPr>
              <w:spacing w:after="0" w:line="240" w:lineRule="auto"/>
              <w:jc w:val="center"/>
              <w:rPr>
                <w:sz w:val="28"/>
                <w:szCs w:val="32"/>
              </w:rPr>
            </w:pPr>
            <w:r>
              <w:rPr>
                <w:sz w:val="28"/>
                <w:szCs w:val="32"/>
              </w:rPr>
              <w:t>11:45-12:00</w:t>
            </w:r>
          </w:p>
        </w:tc>
        <w:tc>
          <w:tcPr>
            <w:tcW w:w="10050" w:type="dxa"/>
            <w:tcBorders>
              <w:top w:val="nil"/>
              <w:left w:val="nil"/>
              <w:bottom w:val="single" w:color="auto" w:sz="8" w:space="0"/>
              <w:right w:val="nil"/>
            </w:tcBorders>
            <w:tcMar>
              <w:top w:w="0" w:type="dxa"/>
              <w:left w:w="108" w:type="dxa"/>
              <w:bottom w:w="0" w:type="dxa"/>
              <w:right w:w="108" w:type="dxa"/>
            </w:tcMar>
            <w:vAlign w:val="center"/>
          </w:tcPr>
          <w:p w14:paraId="51BC1B3B">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4"/>
                <w:szCs w:val="24"/>
              </w:rPr>
            </w:pPr>
            <w:r>
              <w:rPr>
                <w:rFonts w:hint="eastAsia"/>
                <w:b/>
                <w:bCs/>
                <w:sz w:val="24"/>
                <w:szCs w:val="24"/>
              </w:rPr>
              <w:t>A Systematic Review on Development of</w:t>
            </w:r>
          </w:p>
          <w:p w14:paraId="2631C4C1">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b/>
                <w:bCs/>
                <w:sz w:val="24"/>
                <w:szCs w:val="24"/>
              </w:rPr>
            </w:pPr>
            <w:r>
              <w:rPr>
                <w:rFonts w:hint="eastAsia"/>
                <w:b/>
                <w:bCs/>
                <w:sz w:val="24"/>
                <w:szCs w:val="24"/>
              </w:rPr>
              <w:t>Industry-Academia-Government-Finance Collaboration in Japan</w:t>
            </w:r>
          </w:p>
          <w:p w14:paraId="1C833D65">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4"/>
                <w:szCs w:val="24"/>
                <w:lang w:val="en-US" w:eastAsia="zh-CN"/>
              </w:rPr>
            </w:pPr>
            <w:r>
              <w:rPr>
                <w:b/>
                <w:bCs/>
                <w:sz w:val="28"/>
                <w:szCs w:val="28"/>
              </w:rPr>
              <w:t>Luo Zhiwei</w:t>
            </w:r>
            <w:r>
              <w:rPr>
                <w:rFonts w:hint="eastAsia"/>
                <w:b/>
                <w:bCs/>
                <w:sz w:val="24"/>
                <w:szCs w:val="24"/>
                <w:lang w:val="en-US" w:eastAsia="zh-CN"/>
              </w:rPr>
              <w:t xml:space="preserve"> </w:t>
            </w:r>
          </w:p>
          <w:p w14:paraId="0B05DDA5">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sz w:val="28"/>
                <w:szCs w:val="32"/>
              </w:rPr>
            </w:pPr>
            <w:r>
              <w:rPr>
                <w:sz w:val="24"/>
                <w:szCs w:val="24"/>
              </w:rPr>
              <w:t>Professor, Kobe University, Japan</w:t>
            </w:r>
          </w:p>
        </w:tc>
        <w:tc>
          <w:tcPr>
            <w:tcW w:w="1429" w:type="dxa"/>
            <w:vMerge w:val="continue"/>
            <w:tcBorders>
              <w:top w:val="nil"/>
              <w:left w:val="nil"/>
              <w:bottom w:val="single" w:color="auto" w:sz="8" w:space="0"/>
            </w:tcBorders>
            <w:vAlign w:val="center"/>
          </w:tcPr>
          <w:p w14:paraId="7B14B3CB">
            <w:pPr>
              <w:spacing w:after="0" w:line="240" w:lineRule="auto"/>
              <w:jc w:val="center"/>
              <w:rPr>
                <w:sz w:val="28"/>
                <w:szCs w:val="32"/>
              </w:rPr>
            </w:pPr>
          </w:p>
        </w:tc>
      </w:tr>
      <w:tr w14:paraId="41715AA9">
        <w:tblPrEx>
          <w:tblBorders>
            <w:top w:val="none" w:color="auto" w:sz="0" w:space="0"/>
            <w:left w:val="none" w:color="auto" w:sz="0" w:space="0"/>
            <w:bottom w:val="none" w:color="auto" w:sz="0" w:space="0"/>
            <w:right w:val="none" w:color="auto" w:sz="0" w:space="0"/>
            <w:insideH w:val="none" w:color="auto" w:sz="4" w:space="0"/>
            <w:insideV w:val="single" w:color="auto" w:sz="4" w:space="0"/>
          </w:tblBorders>
          <w:tblCellMar>
            <w:top w:w="0" w:type="dxa"/>
            <w:left w:w="0" w:type="dxa"/>
            <w:bottom w:w="0" w:type="dxa"/>
            <w:right w:w="0" w:type="dxa"/>
          </w:tblCellMar>
        </w:tblPrEx>
        <w:trPr>
          <w:trHeight w:val="905" w:hRule="atLeast"/>
          <w:jc w:val="center"/>
        </w:trPr>
        <w:tc>
          <w:tcPr>
            <w:tcW w:w="1865" w:type="dxa"/>
            <w:tcBorders>
              <w:top w:val="nil"/>
              <w:bottom w:val="single" w:color="auto" w:sz="8" w:space="0"/>
              <w:right w:val="nil"/>
            </w:tcBorders>
            <w:tcMar>
              <w:top w:w="0" w:type="dxa"/>
              <w:left w:w="108" w:type="dxa"/>
              <w:bottom w:w="0" w:type="dxa"/>
              <w:right w:w="108" w:type="dxa"/>
            </w:tcMar>
            <w:vAlign w:val="center"/>
          </w:tcPr>
          <w:p w14:paraId="60F94BC9">
            <w:pPr>
              <w:spacing w:after="0" w:line="240" w:lineRule="auto"/>
              <w:jc w:val="center"/>
              <w:rPr>
                <w:sz w:val="28"/>
                <w:szCs w:val="32"/>
              </w:rPr>
            </w:pPr>
            <w:r>
              <w:rPr>
                <w:sz w:val="28"/>
                <w:szCs w:val="32"/>
              </w:rPr>
              <w:t>12:00-12:15</w:t>
            </w:r>
          </w:p>
        </w:tc>
        <w:tc>
          <w:tcPr>
            <w:tcW w:w="10050" w:type="dxa"/>
            <w:tcBorders>
              <w:top w:val="nil"/>
              <w:left w:val="nil"/>
              <w:bottom w:val="single" w:color="auto" w:sz="8" w:space="0"/>
              <w:right w:val="nil"/>
            </w:tcBorders>
            <w:tcMar>
              <w:top w:w="0" w:type="dxa"/>
              <w:left w:w="108" w:type="dxa"/>
              <w:bottom w:w="0" w:type="dxa"/>
              <w:right w:w="108" w:type="dxa"/>
            </w:tcMar>
            <w:vAlign w:val="center"/>
          </w:tcPr>
          <w:p w14:paraId="43D7F58C">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4"/>
                <w:szCs w:val="24"/>
              </w:rPr>
            </w:pPr>
            <w:r>
              <w:rPr>
                <w:rFonts w:hint="eastAsia"/>
                <w:b/>
                <w:bCs/>
                <w:sz w:val="24"/>
                <w:szCs w:val="24"/>
              </w:rPr>
              <w:t xml:space="preserve">ENGINEERING TALENT AT SCALE: INDIA'S TRIPLE HELIX MODEL </w:t>
            </w:r>
          </w:p>
          <w:p w14:paraId="032C4B78">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4"/>
                <w:szCs w:val="24"/>
              </w:rPr>
            </w:pPr>
            <w:r>
              <w:rPr>
                <w:rFonts w:hint="eastAsia"/>
                <w:b/>
                <w:bCs/>
                <w:sz w:val="24"/>
                <w:szCs w:val="24"/>
              </w:rPr>
              <w:t>FOR THE GLOBAL TECHNOLOGY WORKFORCE</w:t>
            </w:r>
          </w:p>
          <w:p w14:paraId="4035C069">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8"/>
                <w:szCs w:val="28"/>
                <w:lang w:val="en-US" w:eastAsia="zh-CN"/>
              </w:rPr>
            </w:pPr>
            <w:r>
              <w:rPr>
                <w:rFonts w:hint="eastAsia"/>
                <w:b/>
                <w:bCs/>
                <w:sz w:val="28"/>
                <w:szCs w:val="28"/>
              </w:rPr>
              <w:t>Prof Dr Kaliappan Manivannan</w:t>
            </w:r>
          </w:p>
          <w:p w14:paraId="02CB4108">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sz w:val="28"/>
                <w:szCs w:val="32"/>
              </w:rPr>
            </w:pPr>
            <w:r>
              <w:rPr>
                <w:rFonts w:hint="eastAsia"/>
                <w:b w:val="0"/>
                <w:bCs w:val="0"/>
                <w:sz w:val="24"/>
                <w:szCs w:val="24"/>
              </w:rPr>
              <w:t>Dean-External Affairs &amp; Professor at RMK Engineering College, India</w:t>
            </w:r>
          </w:p>
        </w:tc>
        <w:tc>
          <w:tcPr>
            <w:tcW w:w="1429" w:type="dxa"/>
            <w:vMerge w:val="restart"/>
            <w:tcBorders>
              <w:top w:val="nil"/>
              <w:left w:val="nil"/>
              <w:bottom w:val="single" w:color="auto" w:sz="8" w:space="0"/>
            </w:tcBorders>
            <w:tcMar>
              <w:top w:w="0" w:type="dxa"/>
              <w:left w:w="108" w:type="dxa"/>
              <w:bottom w:w="0" w:type="dxa"/>
              <w:right w:w="108" w:type="dxa"/>
            </w:tcMar>
            <w:vAlign w:val="center"/>
          </w:tcPr>
          <w:p w14:paraId="4A8A948A">
            <w:pPr>
              <w:spacing w:after="0" w:line="240" w:lineRule="auto"/>
              <w:jc w:val="center"/>
              <w:rPr>
                <w:sz w:val="28"/>
                <w:szCs w:val="32"/>
              </w:rPr>
            </w:pPr>
            <w:r>
              <w:rPr>
                <w:sz w:val="28"/>
                <w:szCs w:val="32"/>
              </w:rPr>
              <w:t>CSEE</w:t>
            </w:r>
          </w:p>
        </w:tc>
      </w:tr>
      <w:tr w14:paraId="6475A677">
        <w:tblPrEx>
          <w:tblBorders>
            <w:top w:val="none" w:color="auto" w:sz="0" w:space="0"/>
            <w:left w:val="none" w:color="auto" w:sz="0" w:space="0"/>
            <w:bottom w:val="none" w:color="auto" w:sz="0" w:space="0"/>
            <w:right w:val="none" w:color="auto" w:sz="0" w:space="0"/>
            <w:insideH w:val="none" w:color="auto" w:sz="4" w:space="0"/>
            <w:insideV w:val="single" w:color="auto" w:sz="4" w:space="0"/>
          </w:tblBorders>
          <w:tblCellMar>
            <w:top w:w="0" w:type="dxa"/>
            <w:left w:w="0" w:type="dxa"/>
            <w:bottom w:w="0" w:type="dxa"/>
            <w:right w:w="0" w:type="dxa"/>
          </w:tblCellMar>
        </w:tblPrEx>
        <w:trPr>
          <w:trHeight w:val="1380" w:hRule="atLeast"/>
          <w:jc w:val="center"/>
        </w:trPr>
        <w:tc>
          <w:tcPr>
            <w:tcW w:w="1865" w:type="dxa"/>
            <w:tcBorders>
              <w:top w:val="nil"/>
              <w:right w:val="nil"/>
            </w:tcBorders>
            <w:tcMar>
              <w:top w:w="0" w:type="dxa"/>
              <w:left w:w="108" w:type="dxa"/>
              <w:bottom w:w="0" w:type="dxa"/>
              <w:right w:w="108" w:type="dxa"/>
            </w:tcMar>
            <w:vAlign w:val="center"/>
          </w:tcPr>
          <w:p w14:paraId="34AFDEC9">
            <w:pPr>
              <w:spacing w:after="0" w:line="240" w:lineRule="auto"/>
              <w:jc w:val="center"/>
              <w:rPr>
                <w:sz w:val="28"/>
                <w:szCs w:val="32"/>
              </w:rPr>
            </w:pPr>
            <w:r>
              <w:rPr>
                <w:sz w:val="28"/>
                <w:szCs w:val="32"/>
              </w:rPr>
              <w:t>12:15-12:30</w:t>
            </w:r>
          </w:p>
        </w:tc>
        <w:tc>
          <w:tcPr>
            <w:tcW w:w="10050" w:type="dxa"/>
            <w:tcBorders>
              <w:top w:val="nil"/>
              <w:left w:val="nil"/>
              <w:right w:val="nil"/>
            </w:tcBorders>
            <w:tcMar>
              <w:top w:w="0" w:type="dxa"/>
              <w:left w:w="108" w:type="dxa"/>
              <w:bottom w:w="0" w:type="dxa"/>
              <w:right w:w="108" w:type="dxa"/>
            </w:tcMar>
            <w:vAlign w:val="center"/>
          </w:tcPr>
          <w:p w14:paraId="022BECDF">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4"/>
                <w:szCs w:val="24"/>
              </w:rPr>
            </w:pPr>
            <w:r>
              <w:rPr>
                <w:rFonts w:hint="eastAsia"/>
                <w:b/>
                <w:bCs/>
                <w:sz w:val="24"/>
                <w:szCs w:val="24"/>
              </w:rPr>
              <w:t>Engineering Competency Development through Government–Industry–</w:t>
            </w:r>
          </w:p>
          <w:p w14:paraId="03E7149A">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4"/>
                <w:szCs w:val="24"/>
              </w:rPr>
            </w:pPr>
            <w:r>
              <w:rPr>
                <w:rFonts w:hint="eastAsia"/>
                <w:b/>
                <w:bCs/>
                <w:sz w:val="24"/>
                <w:szCs w:val="24"/>
              </w:rPr>
              <w:t>University Partnerships: Lessons from Singapore and the Philippine</w:t>
            </w:r>
          </w:p>
          <w:p w14:paraId="5A02933E">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eastAsia"/>
                <w:b/>
                <w:bCs/>
                <w:sz w:val="28"/>
                <w:szCs w:val="28"/>
              </w:rPr>
            </w:pPr>
            <w:r>
              <w:rPr>
                <w:rFonts w:hint="eastAsia"/>
                <w:b/>
                <w:bCs/>
                <w:sz w:val="28"/>
                <w:szCs w:val="28"/>
              </w:rPr>
              <w:t>Dr. Christian N. Della</w:t>
            </w:r>
          </w:p>
          <w:p w14:paraId="2FD7A3A4">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sz w:val="28"/>
                <w:szCs w:val="32"/>
              </w:rPr>
            </w:pPr>
            <w:r>
              <w:rPr>
                <w:rFonts w:hint="eastAsia"/>
                <w:b w:val="0"/>
                <w:bCs w:val="0"/>
                <w:sz w:val="24"/>
                <w:szCs w:val="24"/>
              </w:rPr>
              <w:t xml:space="preserve">Vice Chair of </w:t>
            </w:r>
            <w:r>
              <w:rPr>
                <w:rFonts w:hint="eastAsia"/>
                <w:b w:val="0"/>
                <w:bCs w:val="0"/>
                <w:sz w:val="24"/>
                <w:szCs w:val="24"/>
                <w:lang w:val="en-US" w:eastAsia="zh-CN"/>
              </w:rPr>
              <w:t>Philippines Society for Engineering Education，</w:t>
            </w:r>
            <w:r>
              <w:rPr>
                <w:rFonts w:hint="eastAsia"/>
                <w:b w:val="0"/>
                <w:bCs w:val="0"/>
                <w:sz w:val="24"/>
                <w:szCs w:val="24"/>
              </w:rPr>
              <w:t>the Philippines</w:t>
            </w:r>
          </w:p>
        </w:tc>
        <w:tc>
          <w:tcPr>
            <w:tcW w:w="1429" w:type="dxa"/>
            <w:vMerge w:val="continue"/>
            <w:tcBorders>
              <w:top w:val="nil"/>
              <w:left w:val="nil"/>
            </w:tcBorders>
            <w:vAlign w:val="center"/>
          </w:tcPr>
          <w:p w14:paraId="7EAD968D">
            <w:pPr>
              <w:spacing w:after="0" w:line="240" w:lineRule="auto"/>
              <w:jc w:val="center"/>
              <w:rPr>
                <w:sz w:val="28"/>
                <w:szCs w:val="32"/>
              </w:rPr>
            </w:pPr>
          </w:p>
        </w:tc>
      </w:tr>
    </w:tbl>
    <w:p w14:paraId="76279DBF">
      <w:pPr>
        <w:spacing w:after="0" w:line="240" w:lineRule="auto"/>
      </w:pPr>
    </w:p>
    <w:p w14:paraId="595D9A95">
      <w:pPr>
        <w:spacing w:after="0" w:line="240" w:lineRule="auto"/>
      </w:pPr>
    </w:p>
    <w:p w14:paraId="695D4AF4">
      <w:pPr>
        <w:widowControl/>
        <w:rPr>
          <w:rFonts w:hint="eastAsia"/>
          <w:b/>
          <w:bCs/>
          <w:sz w:val="28"/>
          <w:szCs w:val="32"/>
        </w:rPr>
        <w:sectPr>
          <w:pgSz w:w="16838" w:h="11906" w:orient="landscape"/>
          <w:pgMar w:top="720" w:right="720" w:bottom="720" w:left="720" w:header="851" w:footer="992" w:gutter="0"/>
          <w:cols w:space="0" w:num="1"/>
          <w:rtlGutter w:val="0"/>
          <w:docGrid w:type="lines" w:linePitch="317" w:charSpace="0"/>
        </w:sectPr>
      </w:pPr>
    </w:p>
    <w:p w14:paraId="7EF88298">
      <w:pPr>
        <w:pStyle w:val="28"/>
        <w:spacing w:after="0" w:line="240" w:lineRule="auto"/>
        <w:ind w:left="0" w:leftChars="0" w:firstLine="0" w:firstLineChars="0"/>
        <w:rPr>
          <w:rFonts w:hint="eastAsia" w:eastAsiaTheme="minorEastAsia"/>
          <w:b/>
          <w:bCs/>
          <w:sz w:val="28"/>
          <w:szCs w:val="32"/>
          <w:lang w:eastAsia="zh-CN"/>
        </w:rPr>
      </w:pPr>
      <w:r>
        <w:rPr>
          <w:rFonts w:hint="eastAsia"/>
          <w:b/>
          <w:bCs/>
          <w:sz w:val="28"/>
          <w:szCs w:val="32"/>
        </w:rPr>
        <w:t>Speaker Profiles</w:t>
      </w:r>
      <w:r>
        <w:rPr>
          <w:rFonts w:hint="eastAsia"/>
          <w:b/>
          <w:bCs/>
          <w:sz w:val="28"/>
          <w:szCs w:val="32"/>
          <w:lang w:val="en-US" w:eastAsia="zh-CN"/>
        </w:rPr>
        <w:t>:</w:t>
      </w:r>
    </w:p>
    <w:p w14:paraId="1B7A39EC">
      <w:pPr>
        <w:pStyle w:val="28"/>
        <w:numPr>
          <w:ilvl w:val="0"/>
          <w:numId w:val="1"/>
        </w:numPr>
        <w:spacing w:after="0" w:line="240" w:lineRule="auto"/>
        <w:ind w:left="420" w:leftChars="0" w:hanging="420" w:firstLineChars="0"/>
        <w:rPr>
          <w:rFonts w:hint="eastAsia"/>
          <w:b/>
          <w:bCs/>
          <w:sz w:val="28"/>
          <w:szCs w:val="32"/>
        </w:rPr>
      </w:pPr>
      <w:r>
        <w:rPr>
          <w:rFonts w:hint="eastAsia"/>
          <w:b/>
          <w:bCs/>
          <w:sz w:val="28"/>
          <w:szCs w:val="32"/>
        </w:rPr>
        <w:t>Zhang Kejun</w:t>
      </w:r>
    </w:p>
    <w:p w14:paraId="1D6221A9">
      <w:pPr>
        <w:pStyle w:val="28"/>
        <w:spacing w:after="0" w:line="240" w:lineRule="auto"/>
        <w:ind w:left="440" w:firstLine="400"/>
        <w:rPr>
          <w:rFonts w:hint="eastAsia"/>
          <w:sz w:val="28"/>
          <w:szCs w:val="32"/>
        </w:rPr>
      </w:pPr>
      <w:r>
        <w:rPr>
          <w:rFonts w:hint="eastAsia"/>
          <w:sz w:val="28"/>
          <w:szCs w:val="32"/>
        </w:rPr>
        <w:t>Professor and PhD supervisor majoring in design, AI, computer science and electronic information. He is Associate Editor of IEEE Transactions on Affective Computing, Head of Intelligent Design Department and Vice Dean of International Design Institute at Zhejiang University. He leads national-level teaching centers and the Ministry of Education’s virtual teaching office for interdisciplinary innovative design education.</w:t>
      </w:r>
    </w:p>
    <w:p w14:paraId="18FBFFFF">
      <w:pPr>
        <w:pStyle w:val="28"/>
        <w:numPr>
          <w:ilvl w:val="0"/>
          <w:numId w:val="1"/>
        </w:numPr>
        <w:spacing w:after="0" w:line="240" w:lineRule="auto"/>
        <w:ind w:left="420" w:leftChars="0" w:hanging="420" w:firstLineChars="0"/>
        <w:rPr>
          <w:rFonts w:hint="eastAsia"/>
          <w:b/>
          <w:bCs/>
          <w:sz w:val="28"/>
          <w:szCs w:val="32"/>
        </w:rPr>
      </w:pPr>
      <w:r>
        <w:rPr>
          <w:rFonts w:hint="eastAsia"/>
          <w:b/>
          <w:bCs/>
          <w:sz w:val="28"/>
          <w:szCs w:val="32"/>
        </w:rPr>
        <w:t>Luo Zhiwei</w:t>
      </w:r>
    </w:p>
    <w:p w14:paraId="29B58636">
      <w:pPr>
        <w:pStyle w:val="28"/>
        <w:spacing w:after="0" w:line="240" w:lineRule="auto"/>
        <w:ind w:left="440" w:firstLine="400"/>
        <w:rPr>
          <w:rFonts w:hint="eastAsia"/>
          <w:sz w:val="28"/>
          <w:szCs w:val="32"/>
        </w:rPr>
      </w:pPr>
      <w:r>
        <w:rPr>
          <w:rFonts w:hint="eastAsia"/>
          <w:sz w:val="28"/>
          <w:szCs w:val="32"/>
        </w:rPr>
        <w:t>Adjunct Professor at Zhejiang University and researcher at Kobe University, Japan. He earned his doctorate from Nagoya University. His research covers service robots and elderly care devices. His team developed RI-MAN, the world’s first humanoid nursing robot recognized by Time Magazine. He has published nearly 300 papers and owns 15 patents with key roles in Japan’s robotics society.</w:t>
      </w:r>
    </w:p>
    <w:p w14:paraId="53326D6B">
      <w:pPr>
        <w:pStyle w:val="28"/>
        <w:numPr>
          <w:ilvl w:val="0"/>
          <w:numId w:val="1"/>
        </w:numPr>
        <w:spacing w:after="0" w:line="240" w:lineRule="auto"/>
        <w:ind w:left="420" w:leftChars="0" w:hanging="420" w:firstLineChars="0"/>
        <w:rPr>
          <w:rFonts w:hint="eastAsia"/>
          <w:b/>
          <w:bCs/>
          <w:sz w:val="28"/>
          <w:szCs w:val="32"/>
        </w:rPr>
      </w:pPr>
      <w:r>
        <w:rPr>
          <w:rFonts w:hint="eastAsia"/>
          <w:b/>
          <w:bCs/>
          <w:sz w:val="28"/>
          <w:szCs w:val="32"/>
        </w:rPr>
        <w:t>Prof Dr. Kaliappan Manivannan</w:t>
      </w:r>
    </w:p>
    <w:p w14:paraId="2F896596">
      <w:pPr>
        <w:pStyle w:val="28"/>
        <w:spacing w:after="0" w:line="240" w:lineRule="auto"/>
        <w:ind w:left="440" w:firstLine="400"/>
        <w:rPr>
          <w:rFonts w:hint="eastAsia"/>
          <w:sz w:val="28"/>
          <w:szCs w:val="32"/>
        </w:rPr>
      </w:pPr>
      <w:r>
        <w:rPr>
          <w:rFonts w:hint="eastAsia"/>
          <w:sz w:val="28"/>
          <w:szCs w:val="32"/>
        </w:rPr>
        <w:t xml:space="preserve">Dean of External Affairs at RMK Educational Institutions in Chennai, India. He sits on the GEDC Executive Committee and chairs its India Chapter. </w:t>
      </w:r>
      <w:r>
        <w:rPr>
          <w:rFonts w:hint="eastAsia"/>
          <w:sz w:val="28"/>
          <w:szCs w:val="32"/>
          <w:lang w:val="en-US" w:eastAsia="zh-CN"/>
        </w:rPr>
        <w:t>H</w:t>
      </w:r>
      <w:r>
        <w:rPr>
          <w:rFonts w:hint="eastAsia"/>
          <w:sz w:val="28"/>
          <w:szCs w:val="32"/>
        </w:rPr>
        <w:t>e leads India’s engineering education reforms, university-industry cooperation and cross-border education programs, with wide influence across Asia-Pacific engineering education communities.</w:t>
      </w:r>
    </w:p>
    <w:p w14:paraId="65F4581B">
      <w:pPr>
        <w:pStyle w:val="28"/>
        <w:numPr>
          <w:ilvl w:val="0"/>
          <w:numId w:val="1"/>
        </w:numPr>
        <w:spacing w:after="0" w:line="240" w:lineRule="auto"/>
        <w:ind w:left="420" w:leftChars="0" w:hanging="420" w:firstLineChars="0"/>
        <w:rPr>
          <w:rFonts w:hint="eastAsia"/>
          <w:b/>
          <w:bCs/>
          <w:sz w:val="28"/>
          <w:szCs w:val="32"/>
        </w:rPr>
      </w:pPr>
      <w:r>
        <w:rPr>
          <w:rFonts w:hint="eastAsia"/>
          <w:b/>
          <w:bCs/>
          <w:sz w:val="28"/>
          <w:szCs w:val="32"/>
        </w:rPr>
        <w:t>Dr. Christian N. Della</w:t>
      </w:r>
    </w:p>
    <w:p w14:paraId="1A92876E">
      <w:pPr>
        <w:pStyle w:val="28"/>
        <w:spacing w:after="0" w:line="240" w:lineRule="auto"/>
        <w:ind w:left="440" w:firstLine="400"/>
        <w:rPr>
          <w:rFonts w:hint="eastAsia"/>
          <w:sz w:val="28"/>
          <w:szCs w:val="32"/>
        </w:rPr>
      </w:pPr>
      <w:r>
        <w:rPr>
          <w:rFonts w:hint="eastAsia"/>
          <w:sz w:val="28"/>
          <w:szCs w:val="32"/>
        </w:rPr>
        <w:t>Engineering PhD and Fellow of the Higher Education Academy. He lectures at University of Glasgow Singapore and University of the Philippines Diliman, and serves as Vice Chair of External Affairs at PSEE. His research includes mechanical engineering and engineering education. He promotes faculty exchanges and academic cooperation between Southeast Asia and Europe.</w:t>
      </w: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E12F89"/>
    <w:multiLevelType w:val="singleLevel"/>
    <w:tmpl w:val="5EE12F89"/>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8B"/>
    <w:rsid w:val="000B464E"/>
    <w:rsid w:val="000B652B"/>
    <w:rsid w:val="00302DE0"/>
    <w:rsid w:val="004C5158"/>
    <w:rsid w:val="006B018B"/>
    <w:rsid w:val="007F14E4"/>
    <w:rsid w:val="00A5226C"/>
    <w:rsid w:val="00FF27AC"/>
    <w:rsid w:val="145A31C6"/>
    <w:rsid w:val="40A734B6"/>
    <w:rsid w:val="7DBD2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uiPriority w:val="9"/>
    <w:rPr>
      <w:rFonts w:cstheme="majorBidi"/>
      <w:color w:val="104862" w:themeColor="accent1" w:themeShade="BF"/>
      <w:sz w:val="28"/>
      <w:szCs w:val="28"/>
    </w:rPr>
  </w:style>
  <w:style w:type="character" w:customStyle="1" w:styleId="19">
    <w:name w:val="标题 5 字符"/>
    <w:basedOn w:val="14"/>
    <w:link w:val="6"/>
    <w:semiHidden/>
    <w:uiPriority w:val="9"/>
    <w:rPr>
      <w:rFonts w:cstheme="majorBidi"/>
      <w:color w:val="104862" w:themeColor="accent1" w:themeShade="BF"/>
      <w:sz w:val="24"/>
    </w:rPr>
  </w:style>
  <w:style w:type="character" w:customStyle="1" w:styleId="20">
    <w:name w:val="标题 6 字符"/>
    <w:basedOn w:val="14"/>
    <w:link w:val="7"/>
    <w:semiHidden/>
    <w:uiPriority w:val="9"/>
    <w:rPr>
      <w:rFonts w:cstheme="majorBidi"/>
      <w:b/>
      <w:bCs/>
      <w:color w:val="104862" w:themeColor="accent1" w:themeShade="BF"/>
    </w:rPr>
  </w:style>
  <w:style w:type="character" w:customStyle="1" w:styleId="21">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 w:type="paragraph" w:customStyle="1" w:styleId="33">
    <w:name w:val="font-claude-response-body"/>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3</Pages>
  <Words>327</Words>
  <Characters>2044</Characters>
  <Lines>8</Lines>
  <Paragraphs>2</Paragraphs>
  <TotalTime>4</TotalTime>
  <ScaleCrop>false</ScaleCrop>
  <LinksUpToDate>false</LinksUpToDate>
  <CharactersWithSpaces>2333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2026-07-25T09:20:00Z</dcterms:created>
  <dc:creator>41 Sakura</dc:creator>
  <cp:lastModifiedBy>褚立嘉</cp:lastModifiedBy>
  <dcterms:modified xsi:type="dcterms:W3CDTF">2026-07-27T06:32:37Z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eyJoZGlkIjoiOWYwYzcyOTY1Y2ViNDVjZmIzNjM4MTNhMWVjM2ZkNDAiLCJ1c2VySWQiOiIxNzkwODIyODkwIn0=</vt:lpwstr>
  </property>
  <property fmtid="{D5CDD505-2E9C-101B-9397-08002B2CF9AE}" pid="3" name="KSOProductBuildVer">
    <vt:lpwstr>2052-12.1.0.23542</vt:lpwstr>
  </property>
  <property fmtid="{D5CDD505-2E9C-101B-9397-08002B2CF9AE}" pid="4" name="ICV">
    <vt:lpwstr>6C548D5B4E8E4C8793FCD1F7B9FCCD76_12</vt:lpwstr>
  </property>
</Properties>
</file>